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54A114A0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6B7AF4">
        <w:rPr>
          <w:rFonts w:ascii="Garamond" w:hAnsi="Garamond"/>
          <w:b/>
          <w:sz w:val="20"/>
          <w:szCs w:val="20"/>
        </w:rPr>
        <w:t>7</w:t>
      </w:r>
      <w:r w:rsidR="00CA6690" w:rsidRPr="00CA6690">
        <w:rPr>
          <w:rFonts w:ascii="Garamond" w:hAnsi="Garamond"/>
          <w:b/>
          <w:sz w:val="20"/>
          <w:szCs w:val="20"/>
        </w:rPr>
        <w:t>. časť:</w:t>
      </w:r>
      <w:r w:rsidR="009D5E9A" w:rsidRPr="009D5E9A">
        <w:t xml:space="preserve"> </w:t>
      </w:r>
      <w:r w:rsidR="006B7AF4">
        <w:rPr>
          <w:rFonts w:ascii="Garamond" w:hAnsi="Garamond"/>
          <w:b/>
          <w:sz w:val="20"/>
          <w:szCs w:val="20"/>
        </w:rPr>
        <w:t>Lišty, trubky, krabice, zbernice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62BEFC47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6B7AF4">
        <w:rPr>
          <w:rFonts w:ascii="Garamond" w:hAnsi="Garamond"/>
          <w:b/>
          <w:sz w:val="20"/>
          <w:szCs w:val="20"/>
        </w:rPr>
        <w:t>7</w:t>
      </w:r>
      <w:r w:rsidR="006B7AF4" w:rsidRPr="00CA6690">
        <w:rPr>
          <w:rFonts w:ascii="Garamond" w:hAnsi="Garamond"/>
          <w:b/>
          <w:sz w:val="20"/>
          <w:szCs w:val="20"/>
        </w:rPr>
        <w:t>. časť:</w:t>
      </w:r>
      <w:r w:rsidR="006B7AF4" w:rsidRPr="009D5E9A">
        <w:t xml:space="preserve"> </w:t>
      </w:r>
      <w:r w:rsidR="006B7AF4">
        <w:rPr>
          <w:rFonts w:ascii="Garamond" w:hAnsi="Garamond"/>
          <w:b/>
          <w:sz w:val="20"/>
          <w:szCs w:val="20"/>
        </w:rPr>
        <w:t>Lišty, trubky, krabice, zbernice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33186BBD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DB5636">
        <w:rPr>
          <w:rFonts w:ascii="Garamond" w:hAnsi="Garamond"/>
          <w:sz w:val="20"/>
          <w:szCs w:val="20"/>
        </w:rPr>
        <w:t xml:space="preserve"> </w:t>
      </w:r>
      <w:r w:rsidR="006B7AF4" w:rsidRPr="006B7AF4">
        <w:rPr>
          <w:rFonts w:ascii="Garamond" w:hAnsi="Garamond"/>
          <w:sz w:val="20"/>
          <w:szCs w:val="20"/>
        </w:rPr>
        <w:t>lišty, trubky, krabice, zbernice</w:t>
      </w:r>
      <w:r w:rsidR="009D5E9A" w:rsidRPr="006B7AF4">
        <w:rPr>
          <w:rFonts w:ascii="Garamond" w:hAnsi="Garamond"/>
          <w:sz w:val="20"/>
          <w:szCs w:val="20"/>
        </w:rPr>
        <w:t>,</w:t>
      </w:r>
      <w:r w:rsidR="009D5E9A" w:rsidRPr="009D5E9A">
        <w:rPr>
          <w:rFonts w:ascii="Garamond" w:hAnsi="Garamond"/>
          <w:sz w:val="20"/>
          <w:szCs w:val="20"/>
        </w:rPr>
        <w:t xml:space="preserve"> </w:t>
      </w:r>
      <w:r w:rsidR="00BD33BD">
        <w:rPr>
          <w:rFonts w:ascii="Garamond" w:hAnsi="Garamond"/>
          <w:sz w:val="20"/>
          <w:szCs w:val="20"/>
        </w:rPr>
        <w:t xml:space="preserve">bližšie </w:t>
      </w:r>
      <w:r w:rsidR="00A21AA6" w:rsidRPr="009D5E9A">
        <w:rPr>
          <w:rFonts w:ascii="Garamond" w:hAnsi="Garamond"/>
          <w:sz w:val="20"/>
          <w:szCs w:val="20"/>
        </w:rPr>
        <w:t>špecifikovan</w:t>
      </w:r>
      <w:r w:rsidR="00596C48" w:rsidRPr="009D5E9A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165099DB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</w:t>
      </w:r>
      <w:r w:rsidR="009D5E9A">
        <w:rPr>
          <w:rFonts w:ascii="Garamond" w:hAnsi="Garamond"/>
          <w:b/>
          <w:bCs/>
          <w:sz w:val="20"/>
          <w:szCs w:val="20"/>
        </w:rPr>
        <w:t>4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9D5E9A">
        <w:rPr>
          <w:rFonts w:ascii="Garamond" w:hAnsi="Garamond"/>
          <w:b/>
          <w:bCs/>
          <w:sz w:val="20"/>
          <w:szCs w:val="20"/>
        </w:rPr>
        <w:t>štrnásť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2DBF6C67" w14:textId="77777777" w:rsidR="006B7AF4" w:rsidRPr="00032560" w:rsidRDefault="006B7AF4" w:rsidP="006B7AF4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Garamond" w:hAnsi="Garamond"/>
          <w:b/>
          <w:bCs/>
          <w:sz w:val="20"/>
          <w:szCs w:val="20"/>
        </w:rPr>
        <w:t xml:space="preserve">LIŠTY, TRUBKY, KRABICE, ZBERNICE: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6B7AF4" w:rsidRPr="00032560" w14:paraId="0998E1CC" w14:textId="77777777" w:rsidTr="001B6F2B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855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68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195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63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Cena v EUR bez DPH 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EB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Celková cena  v EUR bez DPH</w:t>
            </w:r>
          </w:p>
        </w:tc>
      </w:tr>
      <w:tr w:rsidR="006B7AF4" w:rsidRPr="00032560" w14:paraId="7D257BB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C5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32504072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55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Záslepka ELKO USS-00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187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2E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32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0DA97A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CF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7DC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identif. zatv. 60x25mm,bezhal.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865A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79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F5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C214F1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78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14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Cu 40x10mmx4m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604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4E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94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85D826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ED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91B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Cu 60x10mmx4m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E3E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D1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CC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4AB49C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4A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93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Cu 100x10mmx4m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CB7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AF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0A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6CC376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E3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07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Cu150x10mmx4m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41A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6CF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40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A02765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32F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214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Doska uzemň. 2000X250Fe/Zn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577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D6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BD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BCA42D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DF6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A44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Al 40x5mmx4m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A94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F1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28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FB6688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A6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CC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Zbernica Al 50x5 mm x4m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91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B30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52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DEA00C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C8D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F83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Krabica rozvodná - 855 - Acidur 230/400V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FF1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F1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5B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0D716F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18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689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DIN lišta PR-TS 35 2metre/ks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B24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7C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3BD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AC2C55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C7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37C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 VK 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D19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E8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F6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E6FB2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7E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6B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VK 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69F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885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5D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D1DEFB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24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417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VK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27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37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D9E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023B72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86D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36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Lišta DIN 35x7,5mm (1ks=2m)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B46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D2A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E1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23095F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831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CB7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 VK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4BC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07E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3D7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668FCA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E5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895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VK 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9B0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02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98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963D1D">
              <w:rPr>
                <w:rFonts w:ascii="Garamond" w:hAnsi="Garamond"/>
                <w:sz w:val="20"/>
                <w:szCs w:val="20"/>
              </w:rPr>
              <w:t>[</w:t>
            </w:r>
            <w:r w:rsidRPr="00963D1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963D1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9DD111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6ED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AF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PG 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F01A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5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6C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896510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48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DF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Krabica inštalačná KO 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F63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FD0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1B6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D1D4E4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91E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B63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koncový VK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5D2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0F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CF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DD934B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BE0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B1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Krabica ACEDUR malá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0AF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1E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1E6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1C2247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93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F30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Lišta 20x20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7BE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F9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11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799962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0BD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A3B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Lišta PVC 40/20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083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4B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5D8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364E67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5AC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BE89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PG 7 TVM Pg 7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637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47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25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2C3E0A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3D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07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tesn. s maticou TVM13 Pg13,5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07E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AA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060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284BB3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E8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7F4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PG16 TVM Pg16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059B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4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764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3CB602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28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58F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PG21 TVM Pg21 tesniaca s maticou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587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C6C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E9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4F4FE6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999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32514156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B5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Vývodka PG29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716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4A1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489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59848A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A0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FEC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Rúrka ohybná FXP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F14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BA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14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2646E0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3DE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EE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1B7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8B5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96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0845FD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62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D9C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Hadica Flexa 0233.202.023 PG6-AD 28,5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7AB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22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7F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36C673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FE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F4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8B1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CC3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26E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5E40CE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219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BD4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67A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28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9D3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B13D7B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62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A5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51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BA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1B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7F0C97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83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39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4DB9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8F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368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BEE98A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8F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FC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1BF9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0D1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882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3BCF82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2F9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329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16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8FB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95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23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766EB98" w14:textId="77777777" w:rsidTr="006B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38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56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20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AB7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75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2B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09B91AE" w14:textId="77777777" w:rsidTr="006B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56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32514404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7F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25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09E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494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977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0F0E3FB" w14:textId="77777777" w:rsidTr="006B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B2E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0B7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32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6DC7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92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CD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7FAFD5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6C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15F0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40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A37A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72E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F2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B3C6C6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13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0F0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50 dĺžka 3000mm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EE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25B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F13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C13380">
              <w:rPr>
                <w:rFonts w:ascii="Garamond" w:hAnsi="Garamond"/>
                <w:sz w:val="20"/>
                <w:szCs w:val="20"/>
              </w:rPr>
              <w:t>[</w:t>
            </w:r>
            <w:r w:rsidRPr="00C133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C133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BBA8C73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F5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32514408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81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pevná UPRM 63 dĺžka 3000mm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9B0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F4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6D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5AA0B3F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D8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EB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SM-16 k pevným a ohybným trubkám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0D3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D6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BA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34C3DD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77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157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SM-20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B9E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F9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DF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9DED23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ED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DC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SM-25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417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24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752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7EEDAD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C7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8D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SM-32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C47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843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50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E6399E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9F1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91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SM-40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906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13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517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4C1A96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71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5F6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SM-50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DC6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BE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F99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362026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0AB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C0F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SM-63 k pevným a ohybným trubkám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85C5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CD1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461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EF7D4F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D61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AA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Hadica špirálová pr.13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69A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08A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26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C5A5B8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8AC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57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Hadica špirálová pr.20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751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8A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FF9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419CE0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CA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76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elektroinšt. ohybná 10mm, 50m/ks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575B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A7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C89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99916E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09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309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elektroinšt. ohybná 12mm,50m/ks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78C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4F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62B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E21414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71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D2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Chránička káblového potrubia 1m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8C3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EFA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E4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14B09D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83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6A5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Rúrka pevná pancierová so závitom 3m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4EF7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3EE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465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D7D4B9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4FC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32515022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9C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Trubka ohybná FXP-16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CAE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63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105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AAD67D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076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32517078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35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Tesnenie gumové ku krytu 4442316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18A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33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9CA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0E7CEE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E5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EE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Príruba k rozvodnici Mi FP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8BA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3F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C6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9F100E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43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32530091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3C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Rozvodnica prázdna Mi 90201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469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BB4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D4B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732019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C3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32530097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48F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Rozvodnica zásuvková SCAME D331.1010-2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783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7C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B0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6768E">
              <w:rPr>
                <w:rFonts w:ascii="Garamond" w:hAnsi="Garamond"/>
                <w:sz w:val="20"/>
                <w:szCs w:val="20"/>
              </w:rPr>
              <w:t>[</w:t>
            </w:r>
            <w:r w:rsidRPr="0066768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6768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E799CD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214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32530098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809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Rozvodnica plast. HASMA SCH 300x300x210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A66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1D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5B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24E87A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FC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0E4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Ochrana zemná 4-UT-25426A  UZZ 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8D3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46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3F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5BE31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5B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57A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Dynamopás Cu 10,00x2,50mm;žihaný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762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EF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D7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E5E0A2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E8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B2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Uzemňovací drôt Fe/Zn 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2BC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8F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F2D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2A3CFB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23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99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Uzemňovací drôt Fe/Zn 10mm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F28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9D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CB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1907EBA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8D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2C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na kábel 80x40mm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1BB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15E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57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40527DC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6E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3E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rámik 010958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786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4E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35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047CC5E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9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41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rámik 010954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52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2B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5EE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D33F044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DCB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C2F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pancierová hadica 16mm kovová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BE8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6F9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96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02799A2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229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18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PVC hadica priem 16mm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C5F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76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11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02AE400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E6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B86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hadica DIETZEL HFXS 32 012906šedá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ACEB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65A6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69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A56746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C29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5F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priechodka DIETZEL SGL3232 012702šedá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D1B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D6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3A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EB6F80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D97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13E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matica na priecho DIETZELSLN320132702šed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59D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2B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06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AAFD1C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2B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6C9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inšt knál  DLP 80x50 obj.010412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5EF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3C6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DE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3BFFAD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2FC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F4D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 obj.č. 010521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504B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C2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8C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69AD83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72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B7C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Prehriadka rozdelovacia  obk.č. 10472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13E5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33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F3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CACDE1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90A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1A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Roh vnútorný obj.č.010606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7419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18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7D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A818F4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3F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D9D8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Roh vonkajší   obj.č.010635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AC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5C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29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453941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AA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85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Montážna rámik obj.č.010954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FB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AE8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5F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1AB09B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EB0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FFC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Montážny rámik obj.č.010952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045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380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5E7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7C1334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F08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5A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inšt knál  DLP 150x50 obj.010432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E82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14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24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74AEAE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40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7E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Montážny rámik obj.č.010956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58E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B4E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9B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7F9FDB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B7B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81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záslepka č.010703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F60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F3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D68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75EB2F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FE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3B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Prehriadka vnútorná  obk.č. 10582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67C3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85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CE4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AA7DA71" w14:textId="77777777" w:rsidTr="006B7A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B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5D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vnútorný variab uhol č.10602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5994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18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A25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672C94D" w14:textId="77777777" w:rsidTr="006B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E0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32530549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913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vonkajší variab uhol č.10622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3D4D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6A9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FD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18C0F4C" w14:textId="77777777" w:rsidTr="006B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4E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E90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plochý uhol č.10767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B28A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50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A58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584E68E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8A6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F25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Legrand záslepka č.010722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DB6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EE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20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7561B">
              <w:rPr>
                <w:rFonts w:ascii="Garamond" w:hAnsi="Garamond"/>
                <w:sz w:val="20"/>
                <w:szCs w:val="20"/>
              </w:rPr>
              <w:t>[</w:t>
            </w:r>
            <w:r w:rsidRPr="0067561B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7561B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7DAB359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B53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D64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Prívodka IPG 3243,IP64,400V,32A,4P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065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C37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0C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8BFBCC3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49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32530733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F80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Lišta zásuvková 230V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CD3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B5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B0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20D5BC7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52E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BF3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Prepojka priečna zasúvacia 2,5/2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68A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D52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7D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217B6DB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EF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6C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Prepojka priečna zasúvacia 2,5/3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3198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8F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B43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B24B25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78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5D2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s potlačou DEK 5,"1-50"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053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E42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46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29FDA6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976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EE4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s potlačou DEK 5,"1-10"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C8D7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9C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A1D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3EC392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95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AC7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s potlačou DEK 5,"11-20"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9282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CD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31FB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4D87B66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9E9A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97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Štítok s potlačou DEK 5,"21-30"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D251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518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712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632EE0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AA0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384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25x30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4AAC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96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B3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1F5F0B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71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C8D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60x30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75FB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FF9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95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1DE4D95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32A1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2826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25x40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2C99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78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80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E812EC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147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89B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40x40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F6D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435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BC3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6AEA06A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6EC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2C1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60x40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EC3E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D02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D64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32B3A1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95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01DA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40x80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E375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27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86DD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C1B381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30F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32530765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A8E" w14:textId="77777777" w:rsidR="006B7AF4" w:rsidRPr="00032560" w:rsidRDefault="006B7AF4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Žľab káblový 60x80 2m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AE0F" w14:textId="77777777" w:rsidR="006B7AF4" w:rsidRPr="00B12454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2454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4B0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23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4600C">
              <w:rPr>
                <w:rFonts w:ascii="Garamond" w:hAnsi="Garamond"/>
                <w:sz w:val="20"/>
                <w:szCs w:val="20"/>
              </w:rPr>
              <w:t>[</w:t>
            </w:r>
            <w:r w:rsidRPr="0084600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84600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6B7AF4" w:rsidRPr="00032560" w14:paraId="0E5585C8" w14:textId="77777777" w:rsidTr="001B6F2B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426A6" w14:textId="77777777" w:rsidR="006B7AF4" w:rsidRPr="00B12454" w:rsidRDefault="006B7AF4" w:rsidP="006B7AF4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B1245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2AE" w14:textId="77777777" w:rsidR="006B7AF4" w:rsidRPr="00032560" w:rsidRDefault="006B7AF4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32560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 </w:t>
            </w:r>
            <w:r w:rsidRPr="00852209">
              <w:rPr>
                <w:rFonts w:ascii="Garamond" w:hAnsi="Garamond"/>
                <w:sz w:val="20"/>
                <w:szCs w:val="20"/>
              </w:rPr>
              <w:t>[</w:t>
            </w:r>
            <w:r w:rsidRPr="00032560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852209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781DD9" w14:textId="1B1DBA7E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E883124" w14:textId="5CF2F8B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03D04E2" w14:textId="6FF141F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57CA847" w14:textId="6A5075E5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C7C4AF" w14:textId="29D1360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129D2F" w14:textId="1724EA7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E43C1A0" w14:textId="6843F51A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21EC23C" w14:textId="410E3ED4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8D2C59" w14:textId="74EB2A4C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C288E3" w14:textId="4E0A603B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1A8355" w14:textId="372D5428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1025B2B" w14:textId="32707C41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5B9837" w14:textId="74EB3E35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BE7B59" w14:textId="498F0E87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02D1B00" w14:textId="2D718D31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842617F" w14:textId="25A33708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182E4FC" w14:textId="15973812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4EB792" w14:textId="17E547C0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1FE5B87" w14:textId="260A2E86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FA79468" w14:textId="0AF54FCC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02FBE3" w14:textId="0D85DE7A" w:rsidR="009D5E9A" w:rsidRDefault="009D5E9A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32B3" w14:textId="77777777" w:rsidR="004B096F" w:rsidRDefault="004B096F" w:rsidP="006B4B49">
      <w:pPr>
        <w:spacing w:after="0" w:line="240" w:lineRule="auto"/>
      </w:pPr>
      <w:r>
        <w:separator/>
      </w:r>
    </w:p>
  </w:endnote>
  <w:endnote w:type="continuationSeparator" w:id="0">
    <w:p w14:paraId="61E11FF5" w14:textId="77777777" w:rsidR="004B096F" w:rsidRDefault="004B096F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D5E9A" w:rsidRPr="00324C7F" w:rsidRDefault="009D5E9A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341B" w14:textId="77777777" w:rsidR="004B096F" w:rsidRDefault="004B096F" w:rsidP="006B4B49">
      <w:pPr>
        <w:spacing w:after="0" w:line="240" w:lineRule="auto"/>
      </w:pPr>
      <w:r>
        <w:separator/>
      </w:r>
    </w:p>
  </w:footnote>
  <w:footnote w:type="continuationSeparator" w:id="0">
    <w:p w14:paraId="2177CFC1" w14:textId="77777777" w:rsidR="004B096F" w:rsidRDefault="004B096F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4A5E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B096F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B7AF4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702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D5E9A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3BD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1AC0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5B2B-28CD-4D5B-B065-44E19D7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6027</Words>
  <Characters>34358</Characters>
  <Application>Microsoft Office Word</Application>
  <DocSecurity>0</DocSecurity>
  <Lines>286</Lines>
  <Paragraphs>80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44</cp:revision>
  <cp:lastPrinted>2019-09-18T07:42:00Z</cp:lastPrinted>
  <dcterms:created xsi:type="dcterms:W3CDTF">2019-09-27T05:20:00Z</dcterms:created>
  <dcterms:modified xsi:type="dcterms:W3CDTF">2019-11-26T13:21:00Z</dcterms:modified>
</cp:coreProperties>
</file>